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4D" w:rsidRPr="005E6B4D" w:rsidRDefault="005E6B4D" w:rsidP="005E6B4D">
      <w:pPr>
        <w:rPr>
          <w:rFonts w:asciiTheme="minorHAnsi" w:hAnsiTheme="minorHAnsi" w:cstheme="minorHAnsi"/>
          <w:sz w:val="22"/>
          <w:szCs w:val="22"/>
        </w:rPr>
      </w:pPr>
      <w:r>
        <w:rPr>
          <w:rFonts w:asciiTheme="minorHAnsi" w:hAnsiTheme="minorHAnsi" w:cstheme="minorHAnsi"/>
          <w:b/>
          <w:sz w:val="22"/>
          <w:szCs w:val="22"/>
        </w:rPr>
        <w:t>Evaluatie van de toepassing van</w:t>
      </w:r>
      <w:bookmarkStart w:id="0" w:name="_GoBack"/>
      <w:bookmarkEnd w:id="0"/>
      <w:r>
        <w:rPr>
          <w:rFonts w:asciiTheme="minorHAnsi" w:hAnsiTheme="minorHAnsi" w:cstheme="minorHAnsi"/>
          <w:b/>
          <w:sz w:val="22"/>
          <w:szCs w:val="22"/>
        </w:rPr>
        <w:t xml:space="preserve"> </w:t>
      </w:r>
      <w:proofErr w:type="spellStart"/>
      <w:r w:rsidRPr="005E6B4D">
        <w:rPr>
          <w:rFonts w:asciiTheme="minorHAnsi" w:hAnsiTheme="minorHAnsi" w:cstheme="minorHAnsi"/>
          <w:b/>
          <w:sz w:val="22"/>
          <w:szCs w:val="22"/>
        </w:rPr>
        <w:t>E</w:t>
      </w:r>
      <w:r w:rsidRPr="005E6B4D">
        <w:rPr>
          <w:rFonts w:asciiTheme="minorHAnsi" w:hAnsiTheme="minorHAnsi" w:cstheme="minorHAnsi"/>
          <w:b/>
          <w:sz w:val="22"/>
          <w:szCs w:val="22"/>
        </w:rPr>
        <w:t>l</w:t>
      </w:r>
      <w:r w:rsidRPr="005E6B4D">
        <w:rPr>
          <w:rFonts w:asciiTheme="minorHAnsi" w:hAnsiTheme="minorHAnsi" w:cstheme="minorHAnsi"/>
          <w:b/>
          <w:sz w:val="22"/>
          <w:szCs w:val="22"/>
        </w:rPr>
        <w:t>a</w:t>
      </w:r>
      <w:r w:rsidRPr="005E6B4D">
        <w:rPr>
          <w:rFonts w:asciiTheme="minorHAnsi" w:hAnsiTheme="minorHAnsi" w:cstheme="minorHAnsi"/>
          <w:b/>
          <w:sz w:val="22"/>
          <w:szCs w:val="22"/>
        </w:rPr>
        <w:t>stocoast</w:t>
      </w:r>
      <w:proofErr w:type="spellEnd"/>
      <w:r>
        <w:rPr>
          <w:rFonts w:asciiTheme="minorHAnsi" w:hAnsiTheme="minorHAnsi" w:cstheme="minorHAnsi"/>
          <w:b/>
          <w:sz w:val="22"/>
          <w:szCs w:val="22"/>
        </w:rPr>
        <w:t xml:space="preserve"> </w:t>
      </w:r>
      <w:r w:rsidRPr="005E6B4D">
        <w:rPr>
          <w:rFonts w:asciiTheme="minorHAnsi" w:hAnsiTheme="minorHAnsi" w:cstheme="minorHAnsi"/>
          <w:sz w:val="22"/>
          <w:szCs w:val="22"/>
        </w:rPr>
        <w:t>.</w:t>
      </w:r>
    </w:p>
    <w:p w:rsidR="005E6B4D" w:rsidRPr="005E6B4D" w:rsidRDefault="005E6B4D" w:rsidP="005E6B4D">
      <w:pPr>
        <w:rPr>
          <w:rFonts w:asciiTheme="minorHAnsi" w:hAnsiTheme="minorHAnsi" w:cstheme="minorHAnsi"/>
          <w:sz w:val="22"/>
          <w:szCs w:val="22"/>
        </w:rPr>
      </w:pP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Uitvoering</w:t>
      </w: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 xml:space="preserve">Doordat het materiaal on site wordt gemengd is er een grote mate van </w:t>
      </w:r>
      <w:r w:rsidRPr="005E6B4D">
        <w:rPr>
          <w:rFonts w:asciiTheme="minorHAnsi" w:hAnsiTheme="minorHAnsi" w:cstheme="minorHAnsi"/>
          <w:sz w:val="22"/>
          <w:szCs w:val="22"/>
        </w:rPr>
        <w:t>flexibiliteit</w:t>
      </w:r>
      <w:r w:rsidRPr="005E6B4D">
        <w:rPr>
          <w:rFonts w:asciiTheme="minorHAnsi" w:hAnsiTheme="minorHAnsi" w:cstheme="minorHAnsi"/>
          <w:sz w:val="22"/>
          <w:szCs w:val="22"/>
        </w:rPr>
        <w:t xml:space="preserve"> ten aanzien van de uitvoering. Verschillende soorten steenslag zijn </w:t>
      </w:r>
      <w:proofErr w:type="spellStart"/>
      <w:r w:rsidRPr="005E6B4D">
        <w:rPr>
          <w:rFonts w:asciiTheme="minorHAnsi" w:hAnsiTheme="minorHAnsi" w:cstheme="minorHAnsi"/>
          <w:sz w:val="22"/>
          <w:szCs w:val="22"/>
        </w:rPr>
        <w:t>verlijmbaar</w:t>
      </w:r>
      <w:proofErr w:type="spellEnd"/>
      <w:r w:rsidRPr="005E6B4D">
        <w:rPr>
          <w:rFonts w:asciiTheme="minorHAnsi" w:hAnsiTheme="minorHAnsi" w:cstheme="minorHAnsi"/>
          <w:sz w:val="22"/>
          <w:szCs w:val="22"/>
        </w:rPr>
        <w:t xml:space="preserve"> op deze wijze.</w:t>
      </w: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Er is wel aandacht nodig voor een nette manier van mengen (ARBO en milieu). Het mengen op zich vormt geen probleem (enkele minuten per m</w:t>
      </w:r>
      <w:r w:rsidRPr="005E6B4D">
        <w:rPr>
          <w:rFonts w:asciiTheme="minorHAnsi" w:hAnsiTheme="minorHAnsi" w:cstheme="minorHAnsi"/>
          <w:sz w:val="22"/>
          <w:szCs w:val="22"/>
          <w:vertAlign w:val="superscript"/>
        </w:rPr>
        <w:t>3</w:t>
      </w:r>
      <w:r w:rsidRPr="005E6B4D">
        <w:rPr>
          <w:rFonts w:asciiTheme="minorHAnsi" w:hAnsiTheme="minorHAnsi" w:cstheme="minorHAnsi"/>
          <w:sz w:val="22"/>
          <w:szCs w:val="22"/>
        </w:rPr>
        <w:t xml:space="preserve"> steenslag).</w:t>
      </w: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Het materiaal is wel gevoelig voor de wijze van uitvoering: voldoende lijm en droge steenslag. Vooral dat laatste aspect behoeft de nodige aandacht om het materiaal on site wordt gemengd. Vaak zullen de depots met steenslag buiten liggen.</w:t>
      </w: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De uitvoering moet vlot gebeuren (20 minuten de tijd om aan te brengen na mengen). Totdat h</w:t>
      </w:r>
      <w:r>
        <w:rPr>
          <w:rFonts w:asciiTheme="minorHAnsi" w:hAnsiTheme="minorHAnsi" w:cstheme="minorHAnsi"/>
          <w:sz w:val="22"/>
          <w:szCs w:val="22"/>
        </w:rPr>
        <w:t>et mat</w:t>
      </w:r>
      <w:r w:rsidRPr="005E6B4D">
        <w:rPr>
          <w:rFonts w:asciiTheme="minorHAnsi" w:hAnsiTheme="minorHAnsi" w:cstheme="minorHAnsi"/>
          <w:sz w:val="22"/>
          <w:szCs w:val="22"/>
        </w:rPr>
        <w:t>er</w:t>
      </w:r>
      <w:r>
        <w:rPr>
          <w:rFonts w:asciiTheme="minorHAnsi" w:hAnsiTheme="minorHAnsi" w:cstheme="minorHAnsi"/>
          <w:sz w:val="22"/>
          <w:szCs w:val="22"/>
        </w:rPr>
        <w:t>i</w:t>
      </w:r>
      <w:r w:rsidRPr="005E6B4D">
        <w:rPr>
          <w:rFonts w:asciiTheme="minorHAnsi" w:hAnsiTheme="minorHAnsi" w:cstheme="minorHAnsi"/>
          <w:sz w:val="22"/>
          <w:szCs w:val="22"/>
        </w:rPr>
        <w:t>aal is uitgehard dient het materiaal niet betreden te worden.</w:t>
      </w:r>
    </w:p>
    <w:p w:rsidR="005E6B4D" w:rsidRPr="005E6B4D" w:rsidRDefault="005E6B4D" w:rsidP="005E6B4D">
      <w:pPr>
        <w:rPr>
          <w:rFonts w:asciiTheme="minorHAnsi" w:hAnsiTheme="minorHAnsi" w:cstheme="minorHAnsi"/>
          <w:sz w:val="22"/>
          <w:szCs w:val="22"/>
        </w:rPr>
      </w:pP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Landschap</w:t>
      </w: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Er is een grote verscheidenheid aan te lijmen steenslag. Op deze manier kan er worden voldaan aan visuele aspecten.</w:t>
      </w: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De toe te passen laag is relatief dun en vormt dus geen belemmering voor de toegankelijkheid en is op die manier ook niet zichtbepalend.</w:t>
      </w:r>
    </w:p>
    <w:p w:rsidR="005E6B4D" w:rsidRPr="005E6B4D" w:rsidRDefault="005E6B4D" w:rsidP="005E6B4D">
      <w:pPr>
        <w:rPr>
          <w:rFonts w:asciiTheme="minorHAnsi" w:hAnsiTheme="minorHAnsi" w:cstheme="minorHAnsi"/>
          <w:sz w:val="22"/>
          <w:szCs w:val="22"/>
        </w:rPr>
      </w:pP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Milieu</w:t>
      </w:r>
    </w:p>
    <w:p w:rsidR="005E6B4D" w:rsidRPr="005E6B4D" w:rsidRDefault="005E6B4D" w:rsidP="005E6B4D">
      <w:pPr>
        <w:rPr>
          <w:rFonts w:asciiTheme="minorHAnsi" w:hAnsiTheme="minorHAnsi" w:cstheme="minorHAnsi"/>
          <w:sz w:val="22"/>
          <w:szCs w:val="22"/>
        </w:rPr>
      </w:pPr>
      <w:r w:rsidRPr="005E6B4D">
        <w:rPr>
          <w:rFonts w:asciiTheme="minorHAnsi" w:hAnsiTheme="minorHAnsi" w:cstheme="minorHAnsi"/>
          <w:sz w:val="22"/>
          <w:szCs w:val="22"/>
        </w:rPr>
        <w:t>Er is nog weinig bekend over de ecologische aspecten van het materiaal. De huidige vakken zijn niet echt geschikt voor monitoring op het vlak van ecologie. Het materiaal biedt voldoende openruimte voor plantengroei. In laboratoria is aangetoond dat wiergroei mogelijk is.</w:t>
      </w:r>
    </w:p>
    <w:p w:rsidR="005E6B4D" w:rsidRDefault="005E6B4D" w:rsidP="005E6B4D">
      <w:pPr>
        <w:rPr>
          <w:rFonts w:ascii="Verdana" w:hAnsi="Verdana"/>
          <w:sz w:val="18"/>
          <w:szCs w:val="18"/>
        </w:rPr>
      </w:pPr>
      <w:r w:rsidRPr="005E6B4D">
        <w:rPr>
          <w:rFonts w:asciiTheme="minorHAnsi" w:hAnsiTheme="minorHAnsi" w:cstheme="minorHAnsi"/>
          <w:sz w:val="22"/>
          <w:szCs w:val="22"/>
        </w:rPr>
        <w:t>Het idee is goed geschikt in het kader van hergebruik. Reeds gebruikte steenslag of ballastmateriaal is goed te verlijmen en</w:t>
      </w:r>
      <w:r>
        <w:rPr>
          <w:rFonts w:ascii="Verdana" w:hAnsi="Verdana"/>
          <w:sz w:val="18"/>
          <w:szCs w:val="18"/>
        </w:rPr>
        <w:t xml:space="preserve"> op die manier herbruikbaar.</w:t>
      </w:r>
    </w:p>
    <w:p w:rsidR="005E6B4D" w:rsidRDefault="005E6B4D" w:rsidP="005E6B4D">
      <w:pPr>
        <w:rPr>
          <w:rFonts w:ascii="Verdana" w:hAnsi="Verdana"/>
          <w:sz w:val="18"/>
          <w:szCs w:val="18"/>
        </w:rPr>
      </w:pPr>
      <w:r>
        <w:rPr>
          <w:rFonts w:ascii="Verdana" w:hAnsi="Verdana"/>
          <w:sz w:val="18"/>
          <w:szCs w:val="18"/>
        </w:rPr>
        <w:t>Er is een BRL beschikbaar.</w:t>
      </w:r>
    </w:p>
    <w:p w:rsidR="00EA0DFC" w:rsidRDefault="00EA0DFC"/>
    <w:sectPr w:rsidR="00EA0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4D"/>
    <w:rsid w:val="005E6B4D"/>
    <w:rsid w:val="00EA0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B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B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2012-03-16T09:54:00Z</dcterms:created>
  <dcterms:modified xsi:type="dcterms:W3CDTF">2012-03-16T09:58:00Z</dcterms:modified>
</cp:coreProperties>
</file>